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pBdr>
          <w:bottom w:val="single" w:color="1B4F72" w:sz="8" w:space="8"/>
        </w:pBdr>
        <w:spacing w:after="200"/>
        <w:jc w:val="center"/>
      </w:pPr>
      <w:r>
        <w:rPr>
          <w:rFonts w:ascii="Arial" w:cs="Arial" w:eastAsia="Arial" w:hAnsi="Arial"/>
          <w:b/>
          <w:bCs/>
          <w:color w:val="1B4F72"/>
          <w:sz w:val="48"/>
          <w:szCs w:val="48"/>
        </w:rPr>
        <w:t xml:space="preserve">STRIDE Threat Assessment</w:t>
      </w:r>
    </w:p>
    <w:p>
      <w:pPr>
        <w:spacing w:after="100"/>
        <w:jc w:val="center"/>
      </w:pPr>
      <w:r>
        <w:rPr>
          <w:rFonts w:ascii="Arial" w:cs="Arial" w:eastAsia="Arial" w:hAnsi="Arial"/>
          <w:color w:val="5D6D7E"/>
          <w:sz w:val="32"/>
          <w:szCs w:val="32"/>
        </w:rPr>
        <w:t xml:space="preserve">Lobster / OpenClaw Personal AI Agent</w:t>
      </w:r>
    </w:p>
    <w:p>
      <w:pPr>
        <w:spacing w:after="600"/>
        <w:jc w:val="center"/>
      </w:pPr>
      <w:r>
        <w:rPr>
          <w:rFonts w:ascii="Arial" w:cs="Arial" w:eastAsia="Arial" w:hAnsi="Arial"/>
          <w:color w:val="5D6D7E"/>
          <w:sz w:val="24"/>
          <w:szCs w:val="24"/>
        </w:rPr>
        <w:t xml:space="preserve">Architecture documented at lobster.shahine.com</w:t>
      </w:r>
    </w:p>
    <w:p>
      <w:pPr>
        <w:spacing w:after="80"/>
        <w:jc w:val="center"/>
      </w:pPr>
      <w:r>
        <w:rPr>
          <w:rFonts w:ascii="Arial" w:cs="Arial" w:eastAsia="Arial" w:hAnsi="Arial"/>
          <w:sz w:val="22"/>
          <w:szCs w:val="22"/>
        </w:rPr>
        <w:t xml:space="preserve">Prepared by: Holliday &amp; Associates</w:t>
      </w:r>
    </w:p>
    <w:p>
      <w:pPr>
        <w:spacing w:after="80"/>
        <w:jc w:val="center"/>
      </w:pPr>
      <w:r>
        <w:rPr>
          <w:rFonts w:ascii="Arial" w:cs="Arial" w:eastAsia="Arial" w:hAnsi="Arial"/>
          <w:sz w:val="22"/>
          <w:szCs w:val="22"/>
        </w:rPr>
        <w:t xml:space="preserve">Date: March 20, 2026</w:t>
      </w:r>
    </w:p>
    <w:p>
      <w:pPr>
        <w:spacing w:after="80"/>
        <w:jc w:val="center"/>
      </w:pPr>
      <w:r>
        <w:rPr>
          <w:rFonts w:ascii="Arial" w:cs="Arial" w:eastAsia="Arial" w:hAnsi="Arial"/>
          <w:sz w:val="22"/>
          <w:szCs w:val="22"/>
        </w:rPr>
        <w:t xml:space="preserve">Classification: Confidential</w:t>
      </w:r>
    </w:p>
    <w:p>
      <w:pPr>
        <w:spacing w:after="80"/>
        <w:jc w:val="center"/>
      </w:pPr>
      <w:r>
        <w:rPr>
          <w:rFonts w:ascii="Arial" w:cs="Arial" w:eastAsia="Arial" w:hAnsi="Arial"/>
          <w:sz w:val="22"/>
          <w:szCs w:val="22"/>
        </w:rPr>
        <w:t xml:space="preserve">Methodology: Microsoft STRIDE with DFD analysis</w:t>
      </w:r>
    </w:p>
    <w:p>
      <w:r>
        <w:br w:type="page"/>
      </w:r>
    </w:p>
    <w:p>
      <w:pPr>
        <w:pStyle w:val="Heading1"/>
      </w:pPr>
      <w:r>
        <w:t xml:space="preserve">1. Executive summary</w:t>
      </w:r>
    </w:p>
    <w:p>
      <w:pPr>
        <w:spacing w:after="120"/>
      </w:pPr>
      <w:r>
        <w:rPr>
          <w:rFonts w:ascii="Arial" w:cs="Arial" w:eastAsia="Arial" w:hAnsi="Arial"/>
          <w:sz w:val="22"/>
          <w:szCs w:val="22"/>
        </w:rPr>
        <w:t xml:space="preserve">This document presents a formal STRIDE threat assessment of the Lobster personal AI agent system, an OpenClaw-based multi-agent architecture designed by Omar Shahine and documented publicly at lobster.shahine.com. The assessment was conducted using the Microsoft Threat Modeling methodology with a complete data flow diagram (DFD) identifying five trust boundaries, seven external entities, eight processes, and six data stores.</w:t>
      </w:r>
    </w:p>
    <w:p>
      <w:pPr>
        <w:spacing w:after="120"/>
      </w:pPr>
      <w:r>
        <w:rPr>
          <w:rFonts w:ascii="Arial" w:cs="Arial" w:eastAsia="Arial" w:hAnsi="Arial"/>
          <w:sz w:val="22"/>
          <w:szCs w:val="22"/>
        </w:rPr>
        <w:t xml:space="preserve">The analysis identified 46 discrete threats across all six STRIDE categories. Of these, 11 are rated Critical severity, 17 High, 14 Medium, and 4 Low. Seven threats have no mitigation whatsoever; the majority have only partial mitigation relying on probabilistic LLM behavior or operational discipline rather than deterministic technical controls.</w:t>
      </w:r>
    </w:p>
    <w:p>
      <w:pPr>
        <w:spacing w:after="120"/>
      </w:pPr>
      <w:r>
        <w:rPr>
          <w:rFonts w:ascii="Arial" w:cs="Arial" w:eastAsia="Arial" w:hAnsi="Arial"/>
          <w:sz w:val="22"/>
          <w:szCs w:val="22"/>
        </w:rPr>
        <w:t xml:space="preserve">The fundamental architectural tension is clear: this is a system where an LLM processes untrusted external content (email, messages, webhooks, calendar invites) and autonomously decides whether to invoke shell commands, send emails, access private data, and communicate across privilege boundaries. The defense-in-depth model is genuinely thoughtful and well-documented, but every layer ultimately depends on either LLM instruction-following (probabilistic) or configuration correctness (operationally fragile).</w:t>
      </w:r>
    </w:p>
    <w:p>
      <w:pPr>
        <w:pStyle w:val="Heading3"/>
      </w:pPr>
      <w:r>
        <w:t xml:space="preserve">Threat severity distribution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Critical</w:t>
            </w:r>
          </w:p>
        </w:tc>
        <w:tc>
          <w:tcPr>
            <w:tcW w:type="dxa" w:w="243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High</w:t>
            </w:r>
          </w:p>
        </w:tc>
        <w:tc>
          <w:tcPr>
            <w:tcW w:type="dxa" w:w="243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Medium</w:t>
            </w:r>
          </w:p>
        </w:tc>
        <w:tc>
          <w:tcPr>
            <w:tcW w:type="dxa" w:w="243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Low</w:t>
            </w:r>
          </w:p>
        </w:tc>
      </w:tr>
      <w:tr>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11</w:t>
            </w:r>
          </w:p>
        </w:tc>
        <w:tc>
          <w:tcPr>
            <w:tcW w:type="dxa" w:w="2430"/>
            <w:tcBorders>
              <w:top w:val="single" w:color="CCCCCC" w:sz="1"/>
              <w:left w:val="single" w:color="CCCCCC" w:sz="1"/>
              <w:bottom w:val="single" w:color="CCCCCC" w:sz="1"/>
              <w:right w:val="single" w:color="CCCCCC" w:sz="1"/>
            </w:tcBorders>
            <w:shd w:fill="FAE5D3" w:val="clear"/>
            <w:tcMar>
              <w:top w:type="dxa" w:w="80"/>
              <w:left w:type="dxa" w:w="120"/>
              <w:bottom w:type="dxa" w:w="80"/>
              <w:right w:type="dxa" w:w="120"/>
            </w:tcMar>
          </w:tcPr>
          <w:p>
            <w:r>
              <w:rPr>
                <w:rFonts w:ascii="Arial" w:cs="Arial" w:eastAsia="Arial" w:hAnsi="Arial"/>
                <w:b/>
                <w:bCs/>
                <w:color w:val="A04000"/>
                <w:sz w:val="20"/>
                <w:szCs w:val="20"/>
              </w:rPr>
              <w:t xml:space="preserve">17</w:t>
            </w:r>
          </w:p>
        </w:tc>
        <w:tc>
          <w:tcPr>
            <w:tcW w:type="dxa" w:w="243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r>
              <w:rPr>
                <w:rFonts w:ascii="Arial" w:cs="Arial" w:eastAsia="Arial" w:hAnsi="Arial"/>
                <w:b/>
                <w:bCs/>
                <w:color w:val="7D6608"/>
                <w:sz w:val="20"/>
                <w:szCs w:val="20"/>
              </w:rPr>
              <w:t xml:space="preserve">14</w:t>
            </w:r>
          </w:p>
        </w:tc>
        <w:tc>
          <w:tcPr>
            <w:tcW w:type="dxa" w:w="243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b/>
                <w:bCs/>
                <w:color w:val="1E8449"/>
                <w:sz w:val="20"/>
                <w:szCs w:val="20"/>
              </w:rPr>
              <w:t xml:space="preserve">4</w:t>
            </w:r>
          </w:p>
        </w:tc>
      </w:tr>
    </w:tbl>
    <w:p>
      <w:pPr>
        <w:spacing w:after="200"/>
      </w:pPr>
    </w:p>
    <w:p>
      <w:pPr>
        <w:pStyle w:val="Heading3"/>
      </w:pPr>
      <w:r>
        <w:t xml:space="preserve">Mitigation status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240"/>
        <w:gridCol w:w="3240"/>
        <w:gridCol w:w="3240"/>
      </w:tblGrid>
      <w:tr>
        <w:tc>
          <w:tcPr>
            <w:tcW w:type="dxa" w:w="324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Implemented</w:t>
            </w:r>
          </w:p>
        </w:tc>
        <w:tc>
          <w:tcPr>
            <w:tcW w:type="dxa" w:w="324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Partial</w:t>
            </w:r>
          </w:p>
        </w:tc>
        <w:tc>
          <w:tcPr>
            <w:tcW w:type="dxa" w:w="324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None</w:t>
            </w:r>
          </w:p>
        </w:tc>
      </w:tr>
      <w:tr>
        <w:tc>
          <w:tcPr>
            <w:tcW w:type="dxa" w:w="324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r>
              <w:rPr>
                <w:rFonts w:ascii="Arial" w:cs="Arial" w:eastAsia="Arial" w:hAnsi="Arial"/>
                <w:b/>
                <w:bCs/>
                <w:color w:val="1E8449"/>
                <w:sz w:val="20"/>
                <w:szCs w:val="20"/>
              </w:rPr>
              <w:t xml:space="preserve">4 threats</w:t>
            </w:r>
          </w:p>
        </w:tc>
        <w:tc>
          <w:tcPr>
            <w:tcW w:type="dxa" w:w="324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r>
              <w:rPr>
                <w:rFonts w:ascii="Arial" w:cs="Arial" w:eastAsia="Arial" w:hAnsi="Arial"/>
                <w:b/>
                <w:bCs/>
                <w:color w:val="7D6608"/>
                <w:sz w:val="20"/>
                <w:szCs w:val="20"/>
              </w:rPr>
              <w:t xml:space="preserve">35 threats</w:t>
            </w:r>
          </w:p>
        </w:tc>
        <w:tc>
          <w:tcPr>
            <w:tcW w:type="dxa" w:w="324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7 threats</w:t>
            </w:r>
          </w:p>
        </w:tc>
      </w:tr>
    </w:tbl>
    <w:p>
      <w:r>
        <w:br w:type="page"/>
      </w:r>
    </w:p>
    <w:p>
      <w:pPr>
        <w:pStyle w:val="Heading1"/>
      </w:pPr>
      <w:r>
        <w:t xml:space="preserve">2. Scope and methodology</w:t>
      </w:r>
    </w:p>
    <w:p>
      <w:pPr>
        <w:spacing w:after="120"/>
      </w:pPr>
      <w:r>
        <w:rPr>
          <w:rFonts w:ascii="Arial" w:cs="Arial" w:eastAsia="Arial" w:hAnsi="Arial"/>
          <w:sz w:val="22"/>
          <w:szCs w:val="22"/>
        </w:rPr>
        <w:t xml:space="preserve">This assessment covers the complete Lobster/OpenClaw architecture as documented on the public playbook site (lobster.shahine.com) as of March 2026. The analysis encompasses the six-agent architecture (main, group, family, WhatsApp, HomeClaw, Travel Hub), the OpenClaw gateway, BlueBubbles iMessage bridge, all documented data stores, exec engine, and network boundaries.</w:t>
      </w:r>
    </w:p>
    <w:p>
      <w:pPr>
        <w:pStyle w:val="Heading2"/>
      </w:pPr>
      <w:r>
        <w:t xml:space="preserve">Methodology</w:t>
      </w:r>
    </w:p>
    <w:p>
      <w:pPr>
        <w:spacing w:after="120"/>
      </w:pPr>
      <w:r>
        <w:rPr>
          <w:rFonts w:ascii="Arial" w:cs="Arial" w:eastAsia="Arial" w:hAnsi="Arial"/>
          <w:sz w:val="22"/>
          <w:szCs w:val="22"/>
        </w:rPr>
        <w:t xml:space="preserve">The assessment follows the Microsoft STRIDE threat modeling methodology, which systematically evaluates threats across six categories: Spoofing (identity forgery), Tampering (data/config modification), Repudiation (untraceable actions), Information Disclosure (data leakage), Denial of Service (availability disruption), and Elevation of Privilege (unauthorized access escalation).</w:t>
      </w:r>
    </w:p>
    <w:p>
      <w:pPr>
        <w:spacing w:after="120"/>
      </w:pPr>
      <w:r>
        <w:rPr>
          <w:rFonts w:ascii="Arial" w:cs="Arial" w:eastAsia="Arial" w:hAnsi="Arial"/>
          <w:sz w:val="22"/>
          <w:szCs w:val="22"/>
        </w:rPr>
        <w:t xml:space="preserve">A data flow diagram (DFD) was constructed identifying all external entities, processes, data stores, data flows, and trust boundaries. Threats were enumerated at each trust boundary crossing using STRIDE-per-element analysis. Each threat was assigned a severity rating (Critical, High, Medium, Low) based on potential impact and exploitability, and a mitigation status (Implemented, Partial, None) based on documented controls.</w:t>
      </w:r>
    </w:p>
    <w:p>
      <w:pPr>
        <w:pStyle w:val="Heading2"/>
      </w:pPr>
      <w:r>
        <w:t xml:space="preserve">Trust boundaries identified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5520"/>
      </w:tblGrid>
      <w:tr>
        <w:tc>
          <w:tcPr>
            <w:tcW w:type="dxa" w:w="1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ID</w:t>
            </w:r>
          </w:p>
        </w:tc>
        <w:tc>
          <w:tcPr>
            <w:tcW w:type="dxa" w:w="3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Boundary</w:t>
            </w:r>
          </w:p>
        </w:tc>
        <w:tc>
          <w:tcPr>
            <w:tcW w:type="dxa" w:w="552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TB1</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Internet boundary</w:t>
            </w:r>
          </w:p>
        </w:tc>
        <w:tc>
          <w:tcPr>
            <w:tcW w:type="dxa" w:w="5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Public internet to Tailscale mesh. Email, WhatsApp, webhooks, and web APIs cross this boundary.</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TB2</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Tailscale mesh</w:t>
            </w:r>
          </w:p>
        </w:tc>
        <w:tc>
          <w:tcPr>
            <w:tcW w:type="dxa" w:w="5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Encrypted WireGuard network with ACL-gated access. Owner/family devices inside. Agent tagged as tag:agent with restricted outbound.</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TB3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OpenClaw gateway</w:t>
            </w:r>
          </w:p>
        </w:tc>
        <w:tc>
          <w:tcPr>
            <w:tcW w:type="dxa" w:w="5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Single Node.js process hosting all six agents, binding router, exec approval engine, webhook handler, and A2A bus.</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TB4</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Restricted agent context</w:t>
            </w:r>
          </w:p>
        </w:tc>
        <w:tc>
          <w:tcPr>
            <w:tcW w:type="dxa" w:w="5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Logical boundary around least-privilege agents (group, family, WhatsApp, HomeClaw, Travel Hub) with limited tool policies.</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TB5</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Host OS / Exec</w:t>
            </w:r>
          </w:p>
        </w:tc>
        <w:tc>
          <w:tcPr>
            <w:tcW w:type="dxa" w:w="5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macOS host boundary crossed via exec tool. Per-agent allowlists in exec-approvals.json gate CLI invocations.</w:t>
            </w:r>
          </w:p>
        </w:tc>
      </w:tr>
    </w:tbl>
    <w:p>
      <w:r>
        <w:br w:type="page"/>
      </w:r>
    </w:p>
    <w:p>
      <w:pPr>
        <w:pStyle w:val="Heading1"/>
      </w:pPr>
      <w:r>
        <w:t xml:space="preserve">3. Critical and high threats</w:t>
      </w:r>
    </w:p>
    <w:p>
      <w:pPr>
        <w:spacing w:after="120"/>
      </w:pPr>
      <w:r>
        <w:rPr>
          <w:rFonts w:ascii="Arial" w:cs="Arial" w:eastAsia="Arial" w:hAnsi="Arial"/>
          <w:sz w:val="22"/>
          <w:szCs w:val="22"/>
        </w:rPr>
        <w:t xml:space="preserve">This section details the 20 most significant threats identified in the assessment, each rated Critical or High severity. For each threat, the description identifies the attack vector, the current mitigation status documents existing controls, and the recommendation proposes additional defensive measures.</w:t>
      </w:r>
    </w:p>
    <w:p>
      <w:pPr>
        <w:spacing w:after="100"/>
      </w:pPr>
    </w:p>
    <w:p>
      <w:pPr>
        <w:pStyle w:val="Heading3"/>
      </w:pPr>
      <w:r>
        <w:t xml:space="preserve">T01: Sender identity spoofing via BlueBubbles HTTP API</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Spoofing</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BlueBubbles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BlueBubbles reports sender phone numbers without independent cryptographic verification. Attacker who compromises the API can inject messages as the owner, routing to the main agent with full privileges.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challenge-response verification for high-privilege message sources. Bind BlueBubbles API to localhost. Enforce strong API password rotation.</w:t>
      </w:r>
    </w:p>
    <w:p>
      <w:pPr>
        <w:spacing w:after="80"/>
      </w:pPr>
    </w:p>
    <w:p>
      <w:pPr>
        <w:pStyle w:val="Heading3"/>
      </w:pPr>
      <w:r>
        <w:t xml:space="preserve">T02: Prompt injection impersonates owner instructions via email/calendar/messages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Spoofing</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Main Agent</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External content (email bodies, calendar invites, message text) processed in LLM context can contain injection payloads interpreted as owner commands.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Layer deterministic content filtering before LLM processing. Implement mandatory human-in-the-loop confirmation for all destructive or exfiltrating actions. Consider sandboxed content parsing.</w:t>
      </w:r>
    </w:p>
    <w:p>
      <w:pPr>
        <w:spacing w:after="80"/>
      </w:pPr>
    </w:p>
    <w:p>
      <w:pPr>
        <w:pStyle w:val="Heading3"/>
      </w:pPr>
      <w:r>
        <w:t xml:space="preserve">T03: Gateway configuration self-modification if write/edit tools enabled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Tampering</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Gateway Config</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If write/edit tools are not denied, the main agent can modify openclaw.json to change its own bindings, tool policies, and exec approvals.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Verify write/edit/apply_patch are in the deny list for ALL agents, including main. Implement filesystem immutability (chflags schg) on critical config files.</w:t>
      </w:r>
    </w:p>
    <w:p>
      <w:pPr>
        <w:spacing w:after="80"/>
      </w:pPr>
    </w:p>
    <w:p>
      <w:pPr>
        <w:pStyle w:val="Heading3"/>
      </w:pPr>
      <w:r>
        <w:t xml:space="preserve">T04: Argument injection in allowlisted exec commands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Tampering</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Exec Engine</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Allowlist patterns match command paths but do not validate arguments. Crafted arguments or shell metacharacters could chain unauthorized commands.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argument validation at the exec engine level. Document and enforce shell=false for all exec invocations. Consider AppArmor/sandbox profiles per CLI tool.</w:t>
      </w:r>
    </w:p>
    <w:p>
      <w:pPr>
        <w:spacing w:after="80"/>
      </w:pPr>
    </w:p>
    <w:p>
      <w:pPr>
        <w:pStyle w:val="Heading3"/>
      </w:pPr>
      <w:r>
        <w:t xml:space="preserve">T05: Dual configuration system creates silent security drift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Tampering</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Config/Secrets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openclaw.json and exec-approvals.json must both be correctly configured. Changes to one without the other silently degrades security.</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automated consistency validation between config files. Add pre-commit hooks or startup checks that verify both files agree. Alert on drift.</w:t>
      </w:r>
    </w:p>
    <w:p>
      <w:pPr>
        <w:spacing w:after="80"/>
      </w:pPr>
    </w:p>
    <w:p>
      <w:pPr>
        <w:pStyle w:val="Heading3"/>
      </w:pPr>
      <w:r>
        <w:t xml:space="preserve">T06: allowUnsafeExternalContent disables prompt injection defense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Tampering</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Webhooks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Setting this flag to true removes the safety wrapper marking webhook payloads as untrusted data. Malicious payloads are processed as system instructions.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Audit all webhook mappings for this flag. Document the exact conditions under which it is acceptable. Consider removing the flag entirely and requiring safe wrappers always.</w:t>
      </w:r>
    </w:p>
    <w:p>
      <w:pPr>
        <w:spacing w:after="80"/>
      </w:pPr>
    </w:p>
    <w:p>
      <w:pPr>
        <w:pStyle w:val="Heading3"/>
      </w:pPr>
      <w:r>
        <w:t xml:space="preserve">T07: Email body prompt injection triggers privileged agent actions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Tampering</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Email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Crafted email instructions processed by the main agent, which has full Fastmail access to comply (send, archive, forward, create filters).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mandatory confirmation for all email-modifying actions. Process email bodies in a sandboxed context with reduced tool access. Verify sender auth automatically before processing.</w:t>
      </w:r>
    </w:p>
    <w:p>
      <w:pPr>
        <w:spacing w:after="80"/>
      </w:pPr>
    </w:p>
    <w:p>
      <w:pPr>
        <w:pStyle w:val="Heading3"/>
      </w:pPr>
      <w:r>
        <w:t xml:space="preserve">T08: Full host filesystem read access enables data exfiltration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Info Disclosure</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Main Agent</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Main agent has fs.workspaceOnly: false, granting read access to the entire macOS filesystem as AGENT_USER.</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Set fs.workspaceOnly: true for the main agent. Grant specific directory access via explicit configuration rather than full filesystem read.</w:t>
      </w:r>
    </w:p>
    <w:p>
      <w:pPr>
        <w:spacing w:after="80"/>
      </w:pPr>
    </w:p>
    <w:p>
      <w:pPr>
        <w:pStyle w:val="Heading3"/>
      </w:pPr>
      <w:r>
        <w:t xml:space="preserve">T09: Shared API keys across all six agents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Info Disclosure</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Config/Secrets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All agents share the same Anthropic API key. Compromise of any agent workspace yields credentials for all agents.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per-agent API key isolation. Use separate Anthropic API keys for each agent or agent tier. Rotate keys independently.</w:t>
      </w:r>
    </w:p>
    <w:p>
      <w:pPr>
        <w:spacing w:after="80"/>
      </w:pPr>
    </w:p>
    <w:p>
      <w:pPr>
        <w:pStyle w:val="Heading3"/>
      </w:pPr>
      <w:r>
        <w:t xml:space="preserve">T10: Main agent compromise equals full host compromise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Elevation</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Main Agent</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The main agent operates at maximum privilege. Any successful attack yields full host access, all email, calendars, and shell execution.</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This is the fundamental architectural risk. Consider reducing main agent privileges (workspaceOnly: true, exec allowlist like restricted agents). Accept residual risk with enhanced monitoring.</w:t>
      </w:r>
    </w:p>
    <w:p>
      <w:pPr>
        <w:spacing w:after="80"/>
      </w:pPr>
    </w:p>
    <w:p>
      <w:pPr>
        <w:pStyle w:val="Heading3"/>
      </w:pPr>
      <w:r>
        <w:t xml:space="preserve">T11: BlueBubbles compromise chains directly to main agent full access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Elevation</w:t>
            </w:r>
          </w:p>
        </w:tc>
        <w:tc>
          <w:tcPr>
            <w:tcW w:type="dxa" w:w="243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r>
              <w:rPr>
                <w:rFonts w:ascii="Arial" w:cs="Arial" w:eastAsia="Arial" w:hAnsi="Arial"/>
                <w:b/>
                <w:bCs/>
                <w:color w:val="922B21"/>
                <w:sz w:val="20"/>
                <w:szCs w:val="20"/>
              </w:rPr>
              <w:t xml:space="preserve">Critical</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BlueBubbles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Compromised BlueBubbles can send messages as the owner, routing to main agent with full privileges.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out-of-band verification for high-impact commands received via iMessage. Add anomaly detection for unusual message patterns from BlueBubbles.</w:t>
      </w:r>
    </w:p>
    <w:p>
      <w:pPr>
        <w:spacing w:after="80"/>
      </w:pPr>
    </w:p>
    <w:p>
      <w:pPr>
        <w:pStyle w:val="Heading3"/>
      </w:pPr>
      <w:r>
        <w:t xml:space="preserve">T12: Unrestricted outbound internet enables data exfiltration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Info Disclosure</w:t>
            </w:r>
          </w:p>
        </w:tc>
        <w:tc>
          <w:tcPr>
            <w:tcW w:type="dxa" w:w="2430"/>
            <w:tcBorders>
              <w:top w:val="single" w:color="CCCCCC" w:sz="1"/>
              <w:left w:val="single" w:color="CCCCCC" w:sz="1"/>
              <w:bottom w:val="single" w:color="CCCCCC" w:sz="1"/>
              <w:right w:val="single" w:color="CCCCCC" w:sz="1"/>
            </w:tcBorders>
            <w:shd w:fill="FAE5D3" w:val="clear"/>
            <w:tcMar>
              <w:top w:type="dxa" w:w="80"/>
              <w:left w:type="dxa" w:w="120"/>
              <w:bottom w:type="dxa" w:w="80"/>
              <w:right w:type="dxa" w:w="120"/>
            </w:tcMar>
          </w:tcPr>
          <w:p>
            <w:r>
              <w:rPr>
                <w:rFonts w:ascii="Arial" w:cs="Arial" w:eastAsia="Arial" w:hAnsi="Arial"/>
                <w:b/>
                <w:bCs/>
                <w:color w:val="A04000"/>
                <w:sz w:val="20"/>
                <w:szCs w:val="20"/>
              </w:rPr>
              <w:t xml:space="preserve">High</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Network</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922B21"/>
                <w:sz w:val="20"/>
                <w:szCs w:val="20"/>
              </w:rPr>
              <w:t xml:space="preserve">Mitigation: None</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Agent can make arbitrary outbound connections. A compromised agent can exfiltrate any accessible data to external endpoints.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egress filtering with domain allowlisting. Route outbound traffic through a monitoring proxy. Alert on unexpected outbound destinations.</w:t>
      </w:r>
    </w:p>
    <w:p>
      <w:pPr>
        <w:spacing w:after="80"/>
      </w:pPr>
    </w:p>
    <w:p>
      <w:pPr>
        <w:pStyle w:val="Heading3"/>
      </w:pPr>
      <w:r>
        <w:t xml:space="preserve">T13: Gateway process crash stops all six agents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Denial of Service</w:t>
            </w:r>
          </w:p>
        </w:tc>
        <w:tc>
          <w:tcPr>
            <w:tcW w:type="dxa" w:w="2430"/>
            <w:tcBorders>
              <w:top w:val="single" w:color="CCCCCC" w:sz="1"/>
              <w:left w:val="single" w:color="CCCCCC" w:sz="1"/>
              <w:bottom w:val="single" w:color="CCCCCC" w:sz="1"/>
              <w:right w:val="single" w:color="CCCCCC" w:sz="1"/>
            </w:tcBorders>
            <w:shd w:fill="FAE5D3" w:val="clear"/>
            <w:tcMar>
              <w:top w:type="dxa" w:w="80"/>
              <w:left w:type="dxa" w:w="120"/>
              <w:bottom w:type="dxa" w:w="80"/>
              <w:right w:type="dxa" w:w="120"/>
            </w:tcMar>
          </w:tcPr>
          <w:p>
            <w:r>
              <w:rPr>
                <w:rFonts w:ascii="Arial" w:cs="Arial" w:eastAsia="Arial" w:hAnsi="Arial"/>
                <w:b/>
                <w:bCs/>
                <w:color w:val="A04000"/>
                <w:sz w:val="20"/>
                <w:szCs w:val="20"/>
              </w:rPr>
              <w:t xml:space="preserve">High</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Gateway</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922B21"/>
                <w:sz w:val="20"/>
                <w:szCs w:val="20"/>
              </w:rPr>
              <w:t xml:space="preserve">Mitigation: None</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Single process hosts all agents. Crash, OOM, or unhandled exception stops all communication channels.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launchd/systemd process supervision with automatic restart. Consider health check endpoints with external monitoring. Add OOM kill protection.</w:t>
      </w:r>
    </w:p>
    <w:p>
      <w:pPr>
        <w:spacing w:after="80"/>
      </w:pPr>
    </w:p>
    <w:p>
      <w:pPr>
        <w:pStyle w:val="Heading3"/>
      </w:pPr>
      <w:r>
        <w:t xml:space="preserve">T14: sessions_send enables soft privilege escalation to main agent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Elevation</w:t>
            </w:r>
          </w:p>
        </w:tc>
        <w:tc>
          <w:tcPr>
            <w:tcW w:type="dxa" w:w="2430"/>
            <w:tcBorders>
              <w:top w:val="single" w:color="CCCCCC" w:sz="1"/>
              <w:left w:val="single" w:color="CCCCCC" w:sz="1"/>
              <w:bottom w:val="single" w:color="CCCCCC" w:sz="1"/>
              <w:right w:val="single" w:color="CCCCCC" w:sz="1"/>
            </w:tcBorders>
            <w:shd w:fill="FAE5D3" w:val="clear"/>
            <w:tcMar>
              <w:top w:type="dxa" w:w="80"/>
              <w:left w:type="dxa" w:w="120"/>
              <w:bottom w:type="dxa" w:w="80"/>
              <w:right w:type="dxa" w:w="120"/>
            </w:tcMar>
          </w:tcPr>
          <w:p>
            <w:r>
              <w:rPr>
                <w:rFonts w:ascii="Arial" w:cs="Arial" w:eastAsia="Arial" w:hAnsi="Arial"/>
                <w:b/>
                <w:bCs/>
                <w:color w:val="A04000"/>
                <w:sz w:val="20"/>
                <w:szCs w:val="20"/>
              </w:rPr>
              <w:t xml:space="preserve">High</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A2A</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Restricted agents can send arbitrary requests to the main agent via sessions_send. Social engineering of the LLM can bypass privacy instructions.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content filtering on A2A messages. Add rate limiting on sessions_send. Log and alert on A2A requests for sensitive data categories.</w:t>
      </w:r>
    </w:p>
    <w:p>
      <w:pPr>
        <w:spacing w:after="80"/>
      </w:pPr>
    </w:p>
    <w:p>
      <w:pPr>
        <w:pStyle w:val="Heading3"/>
      </w:pPr>
      <w:r>
        <w:t xml:space="preserve">T15: Symlink/path traversal may bypass exec allowlist patterns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Elevation</w:t>
            </w:r>
          </w:p>
        </w:tc>
        <w:tc>
          <w:tcPr>
            <w:tcW w:type="dxa" w:w="2430"/>
            <w:tcBorders>
              <w:top w:val="single" w:color="CCCCCC" w:sz="1"/>
              <w:left w:val="single" w:color="CCCCCC" w:sz="1"/>
              <w:bottom w:val="single" w:color="CCCCCC" w:sz="1"/>
              <w:right w:val="single" w:color="CCCCCC" w:sz="1"/>
            </w:tcBorders>
            <w:shd w:fill="FAE5D3" w:val="clear"/>
            <w:tcMar>
              <w:top w:type="dxa" w:w="80"/>
              <w:left w:type="dxa" w:w="120"/>
              <w:bottom w:type="dxa" w:w="80"/>
              <w:right w:type="dxa" w:w="120"/>
            </w:tcMar>
          </w:tcPr>
          <w:p>
            <w:r>
              <w:rPr>
                <w:rFonts w:ascii="Arial" w:cs="Arial" w:eastAsia="Arial" w:hAnsi="Arial"/>
                <w:b/>
                <w:bCs/>
                <w:color w:val="A04000"/>
                <w:sz w:val="20"/>
                <w:szCs w:val="20"/>
              </w:rPr>
              <w:t xml:space="preserve">High</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Exec Engine</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922B21"/>
                <w:sz w:val="20"/>
                <w:szCs w:val="20"/>
              </w:rPr>
              <w:t xml:space="preserve">Mitigation: None</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Allowlist patterns with wildcards may be bypassed via symlinks or .. traversal in paths.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Verify OpenClaw exec engine resolves symlinks before matching. Add realpath() validation. Ensure trusted bin directories have restricted write permissions.</w:t>
      </w:r>
    </w:p>
    <w:p>
      <w:pPr>
        <w:spacing w:after="80"/>
      </w:pPr>
    </w:p>
    <w:p>
      <w:pPr>
        <w:pStyle w:val="Heading3"/>
      </w:pPr>
      <w:r>
        <w:t xml:space="preserve">T16: File permissions reset on jq configuration edits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Tampering</w:t>
            </w:r>
          </w:p>
        </w:tc>
        <w:tc>
          <w:tcPr>
            <w:tcW w:type="dxa" w:w="2430"/>
            <w:tcBorders>
              <w:top w:val="single" w:color="CCCCCC" w:sz="1"/>
              <w:left w:val="single" w:color="CCCCCC" w:sz="1"/>
              <w:bottom w:val="single" w:color="CCCCCC" w:sz="1"/>
              <w:right w:val="single" w:color="CCCCCC" w:sz="1"/>
            </w:tcBorders>
            <w:shd w:fill="FAE5D3" w:val="clear"/>
            <w:tcMar>
              <w:top w:type="dxa" w:w="80"/>
              <w:left w:type="dxa" w:w="120"/>
              <w:bottom w:type="dxa" w:w="80"/>
              <w:right w:type="dxa" w:w="120"/>
            </w:tcMar>
          </w:tcPr>
          <w:p>
            <w:r>
              <w:rPr>
                <w:rFonts w:ascii="Arial" w:cs="Arial" w:eastAsia="Arial" w:hAnsi="Arial"/>
                <w:b/>
                <w:bCs/>
                <w:color w:val="A04000"/>
                <w:sz w:val="20"/>
                <w:szCs w:val="20"/>
              </w:rPr>
              <w:t xml:space="preserve">High</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Config/Secrets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jq writes to /tmp then mv, resetting permissions. Sensitive files may become world-readable until manually fixed.</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Create a wrapper script for config edits that automatically restores permissions after jq. Add inotify/fswatch monitoring on config files to alert on permission changes.</w:t>
      </w:r>
    </w:p>
    <w:p>
      <w:pPr>
        <w:spacing w:after="80"/>
      </w:pPr>
    </w:p>
    <w:p>
      <w:pPr>
        <w:pStyle w:val="Heading3"/>
      </w:pPr>
      <w:r>
        <w:t xml:space="preserve">T17: Owner @mention in group chat elevates restricted agent in shared context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Elevation</w:t>
            </w:r>
          </w:p>
        </w:tc>
        <w:tc>
          <w:tcPr>
            <w:tcW w:type="dxa" w:w="2430"/>
            <w:tcBorders>
              <w:top w:val="single" w:color="CCCCCC" w:sz="1"/>
              <w:left w:val="single" w:color="CCCCCC" w:sz="1"/>
              <w:bottom w:val="single" w:color="CCCCCC" w:sz="1"/>
              <w:right w:val="single" w:color="CCCCCC" w:sz="1"/>
            </w:tcBorders>
            <w:shd w:fill="FAE5D3" w:val="clear"/>
            <w:tcMar>
              <w:top w:type="dxa" w:w="80"/>
              <w:left w:type="dxa" w:w="120"/>
              <w:bottom w:type="dxa" w:w="80"/>
              <w:right w:type="dxa" w:w="120"/>
            </w:tcMar>
          </w:tcPr>
          <w:p>
            <w:r>
              <w:rPr>
                <w:rFonts w:ascii="Arial" w:cs="Arial" w:eastAsia="Arial" w:hAnsi="Arial"/>
                <w:b/>
                <w:bCs/>
                <w:color w:val="A04000"/>
                <w:sz w:val="20"/>
                <w:szCs w:val="20"/>
              </w:rPr>
              <w:t xml:space="preserve">High</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Elevated Access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7D6608"/>
                <w:sz w:val="20"/>
                <w:szCs w:val="20"/>
              </w:rPr>
              <w:t xml:space="preserve">Mitigation: Partial</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Other group participants can manipulate conversation context before the owner's @mention triggers elevation.</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Consider removing elevation from group chats entirely. If needed, require a separate confirmation channel (owner DM) before applying elevated privileges in a group context.</w:t>
      </w:r>
    </w:p>
    <w:p>
      <w:pPr>
        <w:spacing w:after="80"/>
      </w:pPr>
    </w:p>
    <w:p>
      <w:pPr>
        <w:pStyle w:val="Heading3"/>
      </w:pPr>
      <w:r>
        <w:t xml:space="preserve">T18: Runaway exec command consumes host resources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Denial of Service</w:t>
            </w:r>
          </w:p>
        </w:tc>
        <w:tc>
          <w:tcPr>
            <w:tcW w:type="dxa" w:w="243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r>
              <w:rPr>
                <w:rFonts w:ascii="Arial" w:cs="Arial" w:eastAsia="Arial" w:hAnsi="Arial"/>
                <w:b/>
                <w:bCs/>
                <w:color w:val="7D6608"/>
                <w:sz w:val="20"/>
                <w:szCs w:val="20"/>
              </w:rPr>
              <w:t xml:space="preserve">Medium</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Exec Engine</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922B21"/>
                <w:sz w:val="20"/>
                <w:szCs w:val="20"/>
              </w:rPr>
              <w:t xml:space="preserve">Mitigation: None</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No resource limits (cgroups, ulimits, timeouts) on exec commands. Long-running commands degrade all agents.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per-exec timeout limits. Add ulimit enforcement for AGENT_USER. Consider cgroup isolation for exec processes.</w:t>
      </w:r>
    </w:p>
    <w:p>
      <w:pPr>
        <w:spacing w:after="80"/>
      </w:pPr>
    </w:p>
    <w:p>
      <w:pPr>
        <w:pStyle w:val="Heading3"/>
      </w:pPr>
      <w:r>
        <w:t xml:space="preserve">T19: Skill supply chain compromise affects all agents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Elevation</w:t>
            </w:r>
          </w:p>
        </w:tc>
        <w:tc>
          <w:tcPr>
            <w:tcW w:type="dxa" w:w="243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r>
              <w:rPr>
                <w:rFonts w:ascii="Arial" w:cs="Arial" w:eastAsia="Arial" w:hAnsi="Arial"/>
                <w:b/>
                <w:bCs/>
                <w:color w:val="7D6608"/>
                <w:sz w:val="20"/>
                <w:szCs w:val="20"/>
              </w:rPr>
              <w:t xml:space="preserve">Medium</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Shared Skills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922B21"/>
                <w:sz w:val="20"/>
                <w:szCs w:val="20"/>
              </w:rPr>
              <w:t xml:space="preserve">Mitigation: None</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Shared skills not pinned by commit hash. Supply chain compromise of any skill affects every agent.</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Pin skill definitions by git commit hash. Implement skill integrity verification (checksums). Review and audit skill updates before deployment.</w:t>
      </w:r>
    </w:p>
    <w:p>
      <w:pPr>
        <w:spacing w:after="80"/>
      </w:pPr>
    </w:p>
    <w:p>
      <w:pPr>
        <w:pStyle w:val="Heading3"/>
      </w:pPr>
      <w:r>
        <w:t xml:space="preserve">T20: No real-time anomaly detection for agent behavior</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b/>
                <w:bCs/>
                <w:color w:val="1B4F72"/>
                <w:sz w:val="20"/>
                <w:szCs w:val="20"/>
              </w:rPr>
              <w:t xml:space="preserve">Info Disclosure</w:t>
            </w:r>
          </w:p>
        </w:tc>
        <w:tc>
          <w:tcPr>
            <w:tcW w:type="dxa" w:w="243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r>
              <w:rPr>
                <w:rFonts w:ascii="Arial" w:cs="Arial" w:eastAsia="Arial" w:hAnsi="Arial"/>
                <w:b/>
                <w:bCs/>
                <w:color w:val="7D6608"/>
                <w:sz w:val="20"/>
                <w:szCs w:val="20"/>
              </w:rPr>
              <w:t xml:space="preserve">Medium</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D6D7E"/>
                <w:sz w:val="20"/>
                <w:szCs w:val="20"/>
              </w:rPr>
              <w:t xml:space="preserve">Monitoring</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922B21"/>
                <w:sz w:val="20"/>
                <w:szCs w:val="20"/>
              </w:rPr>
              <w:t xml:space="preserve">Mitigation: None</w:t>
            </w:r>
          </w:p>
        </w:tc>
      </w:tr>
    </w:tbl>
    <w:p>
      <w:pPr>
        <w:spacing w:after="100"/>
      </w:pPr>
      <w:r>
        <w:rPr>
          <w:rFonts w:ascii="Arial" w:cs="Arial" w:eastAsia="Arial" w:hAnsi="Arial"/>
          <w:b/>
          <w:bCs/>
          <w:sz w:val="22"/>
          <w:szCs w:val="22"/>
        </w:rPr>
        <w:t xml:space="preserve">Description: </w:t>
      </w:r>
      <w:r>
        <w:rPr>
          <w:rFonts w:ascii="Arial" w:cs="Arial" w:eastAsia="Arial" w:hAnsi="Arial"/>
          <w:sz w:val="22"/>
          <w:szCs w:val="22"/>
        </w:rPr>
        <w:t xml:space="preserve">Audit trail is forensic only. No real-time alerting for unusual exec bursts, outbound traffic spikes, or mass data access.</w:t>
      </w:r>
    </w:p>
    <w:p>
      <w:pPr>
        <w:spacing w:after="100"/>
      </w:pPr>
      <w:r>
        <w:rPr>
          <w:rFonts w:ascii="Arial" w:cs="Arial" w:eastAsia="Arial" w:hAnsi="Arial"/>
          <w:b/>
          <w:bCs/>
          <w:sz w:val="22"/>
          <w:szCs w:val="22"/>
        </w:rPr>
        <w:t xml:space="preserve">Recommendation: </w:t>
      </w:r>
      <w:r>
        <w:rPr>
          <w:rFonts w:ascii="Arial" w:cs="Arial" w:eastAsia="Arial" w:hAnsi="Arial"/>
          <w:sz w:val="22"/>
          <w:szCs w:val="22"/>
        </w:rPr>
        <w:t xml:space="preserve">Implement real-time log analysis with alerting thresholds. Add rate limiting on tool invocations. Monitor for behavioral anomalies (unusual tool sequences, access patterns).</w:t>
      </w:r>
    </w:p>
    <w:p>
      <w:pPr>
        <w:spacing w:after="80"/>
      </w:pPr>
    </w:p>
    <w:p>
      <w:r>
        <w:br w:type="page"/>
      </w:r>
    </w:p>
    <w:p>
      <w:pPr>
        <w:pStyle w:val="Heading1"/>
      </w:pPr>
      <w:r>
        <w:t xml:space="preserve">4. Architectural observations</w:t>
      </w:r>
    </w:p>
    <w:p>
      <w:pPr>
        <w:pStyle w:val="Heading2"/>
      </w:pPr>
      <w:r>
        <w:t xml:space="preserve">4.1 Strengths</w:t>
      </w:r>
    </w:p>
    <w:p>
      <w:pPr>
        <w:spacing w:after="120"/>
      </w:pPr>
      <w:r>
        <w:rPr>
          <w:rFonts w:ascii="Arial" w:cs="Arial" w:eastAsia="Arial" w:hAnsi="Arial"/>
          <w:sz w:val="22"/>
          <w:szCs w:val="22"/>
        </w:rPr>
        <w:t xml:space="preserve">The Lobster architecture demonstrates above-average security awareness for a personal AI agent deployment. The five-layer defense-in-depth model (channel policies, agent bindings, tool policies, exec approvals, workspace isolation) provides genuine redundancy. The decision to use dedicated webhook agents as intelligent filters rather than routing all events to the main agent is a sound architectural choice that reduces context pollution and limits blast radius. Red team testing of agent-to-agent escalation (six documented tests) shows active security validation rather than theoretical compliance.</w:t>
      </w:r>
    </w:p>
    <w:p>
      <w:pPr>
        <w:spacing w:after="120"/>
      </w:pPr>
      <w:r>
        <w:rPr>
          <w:rFonts w:ascii="Arial" w:cs="Arial" w:eastAsia="Arial" w:hAnsi="Arial"/>
          <w:sz w:val="22"/>
          <w:szCs w:val="22"/>
        </w:rPr>
        <w:t xml:space="preserve">Tailscale for network isolation and SSH hardening eliminates the macOS sshd attack surface entirely. The provenance tagging on inter-agent messages provides meaningful signal even if not cryptographically enforced. The invert-the-catch-all binding strategy correctly ensures unknown messages route to the restricted group agent rather than the privileged main agent.</w:t>
      </w:r>
    </w:p>
    <w:p>
      <w:pPr>
        <w:pStyle w:val="Heading2"/>
      </w:pPr>
      <w:r>
        <w:t xml:space="preserve">4.2 Structural weaknesses</w:t>
      </w:r>
    </w:p>
    <w:p>
      <w:pPr>
        <w:spacing w:after="120"/>
      </w:pPr>
      <w:r>
        <w:rPr>
          <w:rFonts w:ascii="Arial" w:cs="Arial" w:eastAsia="Arial" w:hAnsi="Arial"/>
          <w:sz w:val="22"/>
          <w:szCs w:val="22"/>
        </w:rPr>
        <w:t xml:space="preserve">The architecture has three structural weaknesses that no amount of configuration can fully address. First, the fundamental reliance on LLM instruction-following for security-critical decisions (prompt injection defense, A2A privacy enforcement, confirmation requirements) is probabilistic rather than deterministic. Second, all six agents share a single gateway process, creating a single point of failure for availability and a shared memory space for all agent contexts. Third, the main agent operates with maximum host privileges by design, meaning any successful attack on that single agent yields the maximum possible impact.</w:t>
      </w:r>
    </w:p>
    <w:p>
      <w:pPr>
        <w:pStyle w:val="Heading2"/>
      </w:pPr>
      <w:r>
        <w:t xml:space="preserve">4.3 Configuration fragility</w:t>
      </w:r>
    </w:p>
    <w:p>
      <w:pPr>
        <w:spacing w:after="120"/>
      </w:pPr>
      <w:r>
        <w:rPr>
          <w:rFonts w:ascii="Arial" w:cs="Arial" w:eastAsia="Arial" w:hAnsi="Arial"/>
          <w:sz w:val="22"/>
          <w:szCs w:val="22"/>
        </w:rPr>
        <w:t xml:space="preserve">The security posture depends on simultaneous correctness of multiple configuration files (openclaw.json, exec-approvals.json, per-agent workspace configs, auth-profiles.json, .env), file permissions (chmod 600/700 that reset on jq edits), and operational procedures (key rotation across six agents, binding coverage verification, config backup before changes). This creates a large surface area for human error. A single misconfiguration in any of these files can silently degrade security without immediate detection.</w:t>
      </w:r>
    </w:p>
    <w:p>
      <w:r>
        <w:br w:type="page"/>
      </w:r>
    </w:p>
    <w:p>
      <w:pPr>
        <w:pStyle w:val="Heading1"/>
      </w:pPr>
      <w:r>
        <w:t xml:space="preserve">5. Priority recommendations</w:t>
      </w:r>
    </w:p>
    <w:p>
      <w:pPr>
        <w:pStyle w:val="Heading2"/>
      </w:pPr>
      <w:r>
        <w:t xml:space="preserve">Immediate (Critical)</w:t>
      </w:r>
    </w:p>
    <w:p>
      <w:pPr>
        <w:pStyle w:val="ListParagraph"/>
        <w:numPr>
          <w:ilvl w:val="0"/>
          <w:numId w:val="2"/>
        </w:numPr>
        <w:spacing w:after="80"/>
      </w:pPr>
      <w:r>
        <w:rPr>
          <w:rFonts w:ascii="Arial" w:cs="Arial" w:eastAsia="Arial" w:hAnsi="Arial"/>
          <w:sz w:val="22"/>
          <w:szCs w:val="22"/>
        </w:rPr>
        <w:t xml:space="preserve">Verify write/edit/apply_patch are denied for ALL agents including main-agent in the deployed openclaw.json.</w:t>
      </w:r>
    </w:p>
    <w:p>
      <w:pPr>
        <w:pStyle w:val="ListParagraph"/>
        <w:numPr>
          <w:ilvl w:val="0"/>
          <w:numId w:val="2"/>
        </w:numPr>
        <w:spacing w:after="80"/>
      </w:pPr>
      <w:r>
        <w:rPr>
          <w:rFonts w:ascii="Arial" w:cs="Arial" w:eastAsia="Arial" w:hAnsi="Arial"/>
          <w:sz w:val="22"/>
          <w:szCs w:val="22"/>
        </w:rPr>
        <w:t xml:space="preserve">Implement automated gateway process supervision (launchd plist with KeepAlive) for crash recovery.</w:t>
      </w:r>
    </w:p>
    <w:p>
      <w:pPr>
        <w:pStyle w:val="ListParagraph"/>
        <w:numPr>
          <w:ilvl w:val="0"/>
          <w:numId w:val="2"/>
        </w:numPr>
        <w:spacing w:after="80"/>
      </w:pPr>
      <w:r>
        <w:rPr>
          <w:rFonts w:ascii="Arial" w:cs="Arial" w:eastAsia="Arial" w:hAnsi="Arial"/>
          <w:sz w:val="22"/>
          <w:szCs w:val="22"/>
        </w:rPr>
        <w:t xml:space="preserve">Set fs.workspaceOnly: true for the main agent. Grant specific directory access rather than full filesystem read.</w:t>
      </w:r>
    </w:p>
    <w:p>
      <w:pPr>
        <w:pStyle w:val="ListParagraph"/>
        <w:numPr>
          <w:ilvl w:val="0"/>
          <w:numId w:val="2"/>
        </w:numPr>
        <w:spacing w:after="80"/>
      </w:pPr>
      <w:r>
        <w:rPr>
          <w:rFonts w:ascii="Arial" w:cs="Arial" w:eastAsia="Arial" w:hAnsi="Arial"/>
          <w:sz w:val="22"/>
          <w:szCs w:val="22"/>
        </w:rPr>
        <w:t xml:space="preserve">Bind BlueBubbles HTTP API to localhost only. Verify API password strength.</w:t>
      </w:r>
    </w:p>
    <w:p>
      <w:pPr>
        <w:pStyle w:val="ListParagraph"/>
        <w:numPr>
          <w:ilvl w:val="0"/>
          <w:numId w:val="2"/>
        </w:numPr>
        <w:spacing w:after="80"/>
      </w:pPr>
      <w:r>
        <w:rPr>
          <w:rFonts w:ascii="Arial" w:cs="Arial" w:eastAsia="Arial" w:hAnsi="Arial"/>
          <w:sz w:val="22"/>
          <w:szCs w:val="22"/>
        </w:rPr>
        <w:t xml:space="preserve">Audit all webhook mappings for allowUnsafeExternalContent: true and remove unless absolutely required.</w:t>
      </w:r>
    </w:p>
    <w:p>
      <w:pPr>
        <w:pStyle w:val="ListParagraph"/>
        <w:numPr>
          <w:ilvl w:val="0"/>
          <w:numId w:val="2"/>
        </w:numPr>
        <w:spacing w:after="80"/>
      </w:pPr>
      <w:r>
        <w:rPr>
          <w:rFonts w:ascii="Arial" w:cs="Arial" w:eastAsia="Arial" w:hAnsi="Arial"/>
          <w:sz w:val="22"/>
          <w:szCs w:val="22"/>
        </w:rPr>
        <w:t xml:space="preserve">Create a wrapper script for config edits that automatically restores chmod 600 permissions after jq operations.</w:t>
      </w:r>
    </w:p>
    <w:p>
      <w:pPr>
        <w:pStyle w:val="Heading2"/>
      </w:pPr>
      <w:r>
        <w:t xml:space="preserve">Short-term (High)</w:t>
      </w:r>
    </w:p>
    <w:p>
      <w:pPr>
        <w:pStyle w:val="ListParagraph"/>
        <w:numPr>
          <w:ilvl w:val="0"/>
          <w:numId w:val="2"/>
        </w:numPr>
        <w:spacing w:after="80"/>
      </w:pPr>
      <w:r>
        <w:rPr>
          <w:rFonts w:ascii="Arial" w:cs="Arial" w:eastAsia="Arial" w:hAnsi="Arial"/>
          <w:sz w:val="22"/>
          <w:szCs w:val="22"/>
        </w:rPr>
        <w:t xml:space="preserve">Implement egress filtering with domain allowlisting for outbound connections from the agent Mac.</w:t>
      </w:r>
    </w:p>
    <w:p>
      <w:pPr>
        <w:pStyle w:val="ListParagraph"/>
        <w:numPr>
          <w:ilvl w:val="0"/>
          <w:numId w:val="2"/>
        </w:numPr>
        <w:spacing w:after="80"/>
      </w:pPr>
      <w:r>
        <w:rPr>
          <w:rFonts w:ascii="Arial" w:cs="Arial" w:eastAsia="Arial" w:hAnsi="Arial"/>
          <w:sz w:val="22"/>
          <w:szCs w:val="22"/>
        </w:rPr>
        <w:t xml:space="preserve">Add automated consistency validation between openclaw.json and exec-approvals.json exec security settings.</w:t>
      </w:r>
    </w:p>
    <w:p>
      <w:pPr>
        <w:pStyle w:val="ListParagraph"/>
        <w:numPr>
          <w:ilvl w:val="0"/>
          <w:numId w:val="2"/>
        </w:numPr>
        <w:spacing w:after="80"/>
      </w:pPr>
      <w:r>
        <w:rPr>
          <w:rFonts w:ascii="Arial" w:cs="Arial" w:eastAsia="Arial" w:hAnsi="Arial"/>
          <w:sz w:val="22"/>
          <w:szCs w:val="22"/>
        </w:rPr>
        <w:t xml:space="preserve">Remove general-purpose file utilities (cat, ls, grep, head, tail) from the WhatsApp agent exec allowlist. Provide purpose-built read-only tools instead.</w:t>
      </w:r>
    </w:p>
    <w:p>
      <w:pPr>
        <w:pStyle w:val="ListParagraph"/>
        <w:numPr>
          <w:ilvl w:val="0"/>
          <w:numId w:val="2"/>
        </w:numPr>
        <w:spacing w:after="80"/>
      </w:pPr>
      <w:r>
        <w:rPr>
          <w:rFonts w:ascii="Arial" w:cs="Arial" w:eastAsia="Arial" w:hAnsi="Arial"/>
          <w:sz w:val="22"/>
          <w:szCs w:val="22"/>
        </w:rPr>
        <w:t xml:space="preserve">Pin shared skill definitions by git commit hash. Implement integrity verification on skill load.</w:t>
      </w:r>
    </w:p>
    <w:p>
      <w:pPr>
        <w:pStyle w:val="ListParagraph"/>
        <w:numPr>
          <w:ilvl w:val="0"/>
          <w:numId w:val="2"/>
        </w:numPr>
        <w:spacing w:after="80"/>
      </w:pPr>
      <w:r>
        <w:rPr>
          <w:rFonts w:ascii="Arial" w:cs="Arial" w:eastAsia="Arial" w:hAnsi="Arial"/>
          <w:sz w:val="22"/>
          <w:szCs w:val="22"/>
        </w:rPr>
        <w:t xml:space="preserve">Add real-time alerting for anomalous agent behavior: exec burst detection, unusual outbound traffic, mass file access patterns.</w:t>
      </w:r>
    </w:p>
    <w:p>
      <w:pPr>
        <w:pStyle w:val="ListParagraph"/>
        <w:numPr>
          <w:ilvl w:val="0"/>
          <w:numId w:val="2"/>
        </w:numPr>
        <w:spacing w:after="80"/>
      </w:pPr>
      <w:r>
        <w:rPr>
          <w:rFonts w:ascii="Arial" w:cs="Arial" w:eastAsia="Arial" w:hAnsi="Arial"/>
          <w:sz w:val="22"/>
          <w:szCs w:val="22"/>
        </w:rPr>
        <w:t xml:space="preserve">Verify OpenClaw exec engine resolves symlinks to real paths before matching against allowlist patterns.</w:t>
      </w:r>
    </w:p>
    <w:p>
      <w:pPr>
        <w:pStyle w:val="ListParagraph"/>
        <w:numPr>
          <w:ilvl w:val="0"/>
          <w:numId w:val="2"/>
        </w:numPr>
        <w:spacing w:after="80"/>
      </w:pPr>
      <w:r>
        <w:rPr>
          <w:rFonts w:ascii="Arial" w:cs="Arial" w:eastAsia="Arial" w:hAnsi="Arial"/>
          <w:sz w:val="22"/>
          <w:szCs w:val="22"/>
        </w:rPr>
        <w:t xml:space="preserve">Implement per-agent API key isolation (separate Anthropic API keys per agent or agent tier).</w:t>
      </w:r>
    </w:p>
    <w:p>
      <w:pPr>
        <w:pStyle w:val="Heading2"/>
      </w:pPr>
      <w:r>
        <w:t xml:space="preserve">Medium-term (Recommended)</w:t>
      </w:r>
    </w:p>
    <w:p>
      <w:pPr>
        <w:pStyle w:val="ListParagraph"/>
        <w:numPr>
          <w:ilvl w:val="0"/>
          <w:numId w:val="2"/>
        </w:numPr>
        <w:spacing w:after="80"/>
      </w:pPr>
      <w:r>
        <w:rPr>
          <w:rFonts w:ascii="Arial" w:cs="Arial" w:eastAsia="Arial" w:hAnsi="Arial"/>
          <w:sz w:val="22"/>
          <w:szCs w:val="22"/>
        </w:rPr>
        <w:t xml:space="preserve">Implement content filtering on A2A messages to detect and block requests for sensitive data categories.</w:t>
      </w:r>
    </w:p>
    <w:p>
      <w:pPr>
        <w:pStyle w:val="ListParagraph"/>
        <w:numPr>
          <w:ilvl w:val="0"/>
          <w:numId w:val="2"/>
        </w:numPr>
        <w:spacing w:after="80"/>
      </w:pPr>
      <w:r>
        <w:rPr>
          <w:rFonts w:ascii="Arial" w:cs="Arial" w:eastAsia="Arial" w:hAnsi="Arial"/>
          <w:sz w:val="22"/>
          <w:szCs w:val="22"/>
        </w:rPr>
        <w:t xml:space="preserve">Add timeout and resource limits (ulimit, cgroups) for exec command invocations.</w:t>
      </w:r>
    </w:p>
    <w:p>
      <w:pPr>
        <w:pStyle w:val="ListParagraph"/>
        <w:numPr>
          <w:ilvl w:val="0"/>
          <w:numId w:val="2"/>
        </w:numPr>
        <w:spacing w:after="80"/>
      </w:pPr>
      <w:r>
        <w:rPr>
          <w:rFonts w:ascii="Arial" w:cs="Arial" w:eastAsia="Arial" w:hAnsi="Arial"/>
          <w:sz w:val="22"/>
          <w:szCs w:val="22"/>
        </w:rPr>
        <w:t xml:space="preserve">Consider removing elevated access from group chat contexts entirely, requiring owner DM for privileged operations.</w:t>
      </w:r>
    </w:p>
    <w:p>
      <w:pPr>
        <w:pStyle w:val="ListParagraph"/>
        <w:numPr>
          <w:ilvl w:val="0"/>
          <w:numId w:val="2"/>
        </w:numPr>
        <w:spacing w:after="80"/>
      </w:pPr>
      <w:r>
        <w:rPr>
          <w:rFonts w:ascii="Arial" w:cs="Arial" w:eastAsia="Arial" w:hAnsi="Arial"/>
          <w:sz w:val="22"/>
          <w:szCs w:val="22"/>
        </w:rPr>
        <w:t xml:space="preserve">Implement automatic DKIM/SPF/DMARC verification before email body enters LLM context.</w:t>
      </w:r>
    </w:p>
    <w:p>
      <w:pPr>
        <w:pStyle w:val="ListParagraph"/>
        <w:numPr>
          <w:ilvl w:val="0"/>
          <w:numId w:val="2"/>
        </w:numPr>
        <w:spacing w:after="80"/>
      </w:pPr>
      <w:r>
        <w:rPr>
          <w:rFonts w:ascii="Arial" w:cs="Arial" w:eastAsia="Arial" w:hAnsi="Arial"/>
          <w:sz w:val="22"/>
          <w:szCs w:val="22"/>
        </w:rPr>
        <w:t xml:space="preserve">Add argument-level validation to the exec allowlist (not just path matching).</w:t>
      </w:r>
    </w:p>
    <w:p>
      <w:pPr>
        <w:pStyle w:val="ListParagraph"/>
        <w:numPr>
          <w:ilvl w:val="0"/>
          <w:numId w:val="2"/>
        </w:numPr>
        <w:spacing w:after="80"/>
      </w:pPr>
      <w:r>
        <w:rPr>
          <w:rFonts w:ascii="Arial" w:cs="Arial" w:eastAsia="Arial" w:hAnsi="Arial"/>
          <w:sz w:val="22"/>
          <w:szCs w:val="22"/>
        </w:rPr>
        <w:t xml:space="preserve">Develop an incident response runbook: gateway stop, credential rotation, log preservation, forensic analysis checklist.</w:t>
      </w:r>
    </w:p>
    <w:p>
      <w:r>
        <w:br w:type="page"/>
      </w:r>
    </w:p>
    <w:p>
      <w:pPr>
        <w:pStyle w:val="Heading1"/>
      </w:pPr>
      <w:r>
        <w:t xml:space="preserve">6. Conclusion</w:t>
      </w:r>
    </w:p>
    <w:p>
      <w:pPr>
        <w:spacing w:after="120"/>
      </w:pPr>
      <w:r>
        <w:rPr>
          <w:rFonts w:ascii="Arial" w:cs="Arial" w:eastAsia="Arial" w:hAnsi="Arial"/>
          <w:sz w:val="22"/>
          <w:szCs w:val="22"/>
        </w:rPr>
        <w:t xml:space="preserve">The Lobster/OpenClaw system represents one of the most security-conscious personal AI agent deployments publicly documented. The five-layer defense-in-depth architecture, explicit threat modeling, red team testing, and comprehensive hardening guide demonstrate genuine security engineering discipline. For a personal/family agent operated by someone with the architect’s evident expertise, the residual risk profile is likely acceptable.</w:t>
      </w:r>
    </w:p>
    <w:p>
      <w:pPr>
        <w:spacing w:after="120"/>
      </w:pPr>
      <w:r>
        <w:rPr>
          <w:rFonts w:ascii="Arial" w:cs="Arial" w:eastAsia="Arial" w:hAnsi="Arial"/>
          <w:sz w:val="22"/>
          <w:szCs w:val="22"/>
        </w:rPr>
        <w:t xml:space="preserve">However, the assessment identifies seven completely unmitigated threats and 35 with only partial mitigation. The most significant structural risk is the main agent’s maximum-privilege position combined with probabilistic prompt injection defense. The configuration surface area (dual config files, file permissions, binding coverage, key rotation across six agents) creates operational fragility that will challenge long-term security maintenance.</w:t>
      </w:r>
    </w:p>
    <w:p>
      <w:pPr>
        <w:spacing w:after="120"/>
      </w:pPr>
      <w:r>
        <w:rPr>
          <w:rFonts w:ascii="Arial" w:cs="Arial" w:eastAsia="Arial" w:hAnsi="Arial"/>
          <w:sz w:val="22"/>
          <w:szCs w:val="22"/>
        </w:rPr>
        <w:t xml:space="preserve">For anyone following this architecture as a blueprint for their own personal AI agent, the configuration complexity and the number of things that must be simultaneously correct to maintain the security posture makes this a system that demands ongoing active security management rather than configure-once-and-forget deployment.</w:t>
      </w:r>
    </w:p>
    <w:p>
      <w:pPr>
        <w:spacing w:after="400"/>
      </w:pPr>
    </w:p>
    <w:p>
      <w:pPr>
        <w:pBdr>
          <w:top w:val="single" w:color="1B4F72" w:sz="4" w:space="8"/>
        </w:pBdr>
        <w:spacing w:before="200"/>
      </w:pPr>
      <w:r>
        <w:rPr>
          <w:rFonts w:ascii="Arial" w:cs="Arial" w:eastAsia="Arial" w:hAnsi="Arial"/>
          <w:i/>
          <w:iCs/>
          <w:color w:val="5D6D7E"/>
          <w:sz w:val="20"/>
          <w:szCs w:val="20"/>
        </w:rPr>
        <w:t xml:space="preserve">This assessment was prepared using the Microsoft STRIDE threat modeling methodology applied to publicly documented architecture at lobster.shahine.com. No penetration testing or active exploitation was performed. Findings are based on architectural analysis of documented configurations and design patterns. Actual deployed configurations may differ from documentation.</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4F72" w:sz="4" w:space="4"/>
      </w:pBdr>
      <w:tabs>
        <w:tab w:val="right" w:pos="9026"/>
      </w:tabs>
    </w:pPr>
    <w:r>
      <w:rPr>
        <w:rFonts w:ascii="Arial" w:cs="Arial" w:eastAsia="Arial" w:hAnsi="Arial"/>
        <w:color w:val="999999"/>
        <w:sz w:val="16"/>
        <w:szCs w:val="16"/>
      </w:rPr>
      <w:t xml:space="preserve">Holliday &amp; Associates — 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of </w:t>
    </w:r>
    <w:r>
      <w:rPr>
        <w:rFonts w:ascii="Arial" w:cs="Arial" w:eastAsia="Arial" w:hAnsi="Arial"/>
        <w:color w:val="999999"/>
        <w:sz w:val="16"/>
        <w:szCs w:val="16"/>
      </w:rPr>
      <w:fldChar w:fldCharType="begin"/>
      <w:instrText xml:space="preserve">NUMPAGES</w:instrText>
      <w:fldChar w:fldCharType="separate"/>
      <w:fldChar w:fldCharType="end"/>
    </w:r>
    <w:r>
      <w:rPr>
        <w:rFonts w:ascii="Arial" w:cs="Arial" w:eastAsia="Arial" w:hAnsi="Arial"/>
        <w:color w:val="999999"/>
        <w:sz w:val="16"/>
        <w:szCs w:val="16"/>
      </w:rPr>
      <w:t xml:space="preserve">	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CONFIDENTIAL — Lobster/OpenClaw STRIDE Threat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B4F72"/>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2026-03-20T08:37:07.702Z</dcterms:created>
  <dcterms:modified xsi:type="dcterms:W3CDTF">2026-03-20T08:37:07.703Z</dcterms:modified>
</cp:coreProperties>
</file>

<file path=docProps/custom.xml><?xml version="1.0" encoding="utf-8"?>
<Properties xmlns="http://schemas.openxmlformats.org/officeDocument/2006/custom-properties" xmlns:vt="http://schemas.openxmlformats.org/officeDocument/2006/docPropsVTypes"/>
</file>